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方正小标宋简体" w:eastAsia="方正小标宋简体" w:cstheme="minorEastAsia"/>
          <w:b/>
          <w:bCs/>
          <w:sz w:val="28"/>
          <w:szCs w:val="28"/>
        </w:rPr>
      </w:pPr>
      <w:r>
        <w:rPr>
          <w:rFonts w:hint="eastAsia" w:ascii="方正小标宋简体" w:hAnsi="方正小标宋简体" w:eastAsia="方正小标宋简体" w:cstheme="minorEastAsia"/>
          <w:b/>
          <w:bCs/>
          <w:sz w:val="28"/>
          <w:szCs w:val="28"/>
        </w:rPr>
        <w:t>附件1</w:t>
      </w:r>
      <w:r>
        <w:rPr>
          <w:rFonts w:ascii="方正小标宋简体" w:hAnsi="方正小标宋简体" w:eastAsia="方正小标宋简体" w:cstheme="minorEastAsia"/>
          <w:b/>
          <w:bCs/>
          <w:sz w:val="28"/>
          <w:szCs w:val="28"/>
        </w:rPr>
        <w:t xml:space="preserve"> </w:t>
      </w:r>
      <w:r>
        <w:rPr>
          <w:rFonts w:hint="eastAsia" w:ascii="方正小标宋简体" w:hAnsi="方正小标宋简体" w:eastAsia="方正小标宋简体" w:cstheme="minorEastAsia"/>
          <w:b/>
          <w:bCs/>
          <w:sz w:val="28"/>
          <w:szCs w:val="28"/>
          <w:lang w:val="en-US" w:eastAsia="zh-CN"/>
        </w:rPr>
        <w:t>可冲散</w:t>
      </w:r>
      <w:r>
        <w:rPr>
          <w:rFonts w:hint="eastAsia" w:ascii="方正小标宋简体" w:hAnsi="方正小标宋简体" w:eastAsia="方正小标宋简体" w:cstheme="minorEastAsia"/>
          <w:b/>
          <w:bCs/>
          <w:sz w:val="28"/>
          <w:szCs w:val="28"/>
        </w:rPr>
        <w:t>认证工作流程</w:t>
      </w:r>
    </w:p>
    <w:p>
      <w:pPr>
        <w:rPr>
          <w:rFonts w:asciiTheme="minorEastAsia" w:hAnsiTheme="minorEastAsia" w:cstheme="minorEastAsia"/>
          <w:sz w:val="24"/>
        </w:rPr>
      </w:pPr>
      <w:r>
        <w:t xml:space="preserve"> </w:t>
      </w:r>
      <w:r>
        <w:drawing>
          <wp:inline distT="0" distB="0" distL="0" distR="0">
            <wp:extent cx="5360035" cy="42037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361743" cy="4204960"/>
                    </a:xfrm>
                    <a:prstGeom prst="rect">
                      <a:avLst/>
                    </a:prstGeom>
                  </pic:spPr>
                </pic:pic>
              </a:graphicData>
            </a:graphic>
          </wp:inline>
        </w:drawing>
      </w:r>
    </w:p>
    <w:p>
      <w:pPr>
        <w:spacing w:line="560" w:lineRule="exact"/>
        <w:jc w:val="center"/>
        <w:rPr>
          <w:rFonts w:ascii="仿宋" w:hAnsi="仿宋" w:eastAsia="仿宋" w:cstheme="minorEastAsia"/>
          <w:b/>
          <w:bCs/>
          <w:sz w:val="24"/>
        </w:rPr>
      </w:pPr>
      <w:r>
        <w:rPr>
          <w:rFonts w:hint="eastAsia" w:ascii="仿宋" w:hAnsi="仿宋" w:eastAsia="仿宋" w:cstheme="minorEastAsia"/>
          <w:b/>
          <w:bCs/>
          <w:sz w:val="24"/>
          <w:lang w:val="en-US" w:eastAsia="zh-CN"/>
        </w:rPr>
        <w:t xml:space="preserve">图1 </w:t>
      </w:r>
      <w:r>
        <w:rPr>
          <w:rFonts w:hint="eastAsia" w:ascii="仿宋" w:hAnsi="仿宋" w:eastAsia="仿宋" w:cstheme="minorEastAsia"/>
          <w:b/>
          <w:bCs/>
          <w:sz w:val="24"/>
        </w:rPr>
        <w:t>流程工作流程框架图</w:t>
      </w:r>
    </w:p>
    <w:p>
      <w:pPr>
        <w:spacing w:line="560" w:lineRule="exact"/>
        <w:rPr>
          <w:rFonts w:ascii="仿宋" w:hAnsi="仿宋" w:eastAsia="仿宋" w:cstheme="minorEastAsia"/>
          <w:sz w:val="32"/>
          <w:szCs w:val="32"/>
        </w:rPr>
      </w:pPr>
    </w:p>
    <w:p>
      <w:pPr>
        <w:spacing w:line="360" w:lineRule="auto"/>
        <w:ind w:firstLine="560" w:firstLineChars="200"/>
        <w:rPr>
          <w:rFonts w:ascii="仿宋" w:hAnsi="仿宋" w:eastAsia="仿宋" w:cstheme="minorEastAsia"/>
          <w:sz w:val="28"/>
          <w:szCs w:val="28"/>
        </w:rPr>
      </w:pPr>
      <w:r>
        <w:rPr>
          <w:rFonts w:hint="eastAsia" w:ascii="仿宋" w:hAnsi="仿宋" w:eastAsia="仿宋" w:cstheme="minorEastAsia"/>
          <w:sz w:val="28"/>
          <w:szCs w:val="28"/>
        </w:rPr>
        <w:t>1.认证申请：认证申请主体（以下简称“申请方”）向“中国产业用纺织品行业协会非织造产业绿色发展创新联盟”（以下简称“非织绿盟”）秘书处提出申请，填写申请书，并提交相关资料。</w:t>
      </w:r>
    </w:p>
    <w:p>
      <w:pPr>
        <w:spacing w:line="360" w:lineRule="auto"/>
        <w:ind w:firstLine="560" w:firstLineChars="200"/>
        <w:rPr>
          <w:rFonts w:ascii="仿宋" w:hAnsi="仿宋" w:eastAsia="仿宋" w:cstheme="minorEastAsia"/>
          <w:sz w:val="28"/>
          <w:szCs w:val="28"/>
        </w:rPr>
      </w:pPr>
      <w:r>
        <w:rPr>
          <w:rFonts w:hint="eastAsia" w:ascii="仿宋" w:hAnsi="仿宋" w:eastAsia="仿宋" w:cstheme="minorEastAsia"/>
          <w:sz w:val="28"/>
          <w:szCs w:val="28"/>
        </w:rPr>
        <w:t>2.预审：非织绿盟秘书处收到申请材料后，组织预审工作，符合要求的材料交认证机构进行复审。</w:t>
      </w:r>
    </w:p>
    <w:p>
      <w:pPr>
        <w:spacing w:line="360" w:lineRule="auto"/>
        <w:ind w:firstLine="560" w:firstLineChars="200"/>
        <w:rPr>
          <w:rFonts w:ascii="仿宋" w:hAnsi="仿宋" w:eastAsia="仿宋" w:cstheme="minorEastAsia"/>
          <w:sz w:val="28"/>
          <w:szCs w:val="28"/>
        </w:rPr>
      </w:pPr>
      <w:r>
        <w:rPr>
          <w:rFonts w:hint="eastAsia" w:ascii="仿宋" w:hAnsi="仿宋" w:eastAsia="仿宋" w:cstheme="minorEastAsia"/>
          <w:sz w:val="28"/>
          <w:szCs w:val="28"/>
        </w:rPr>
        <w:t>3.文件审查及签订合同：认证机构对满足要求的申请方发放认证受理决定通知单，与申请方确定认证产品单元、检测项目，说明认证收费项目、收费标准和认证过程中双方所具有的权利和义务等信息后，与申请方签订认证工作合同。</w:t>
      </w:r>
    </w:p>
    <w:p>
      <w:pPr>
        <w:spacing w:line="560" w:lineRule="exact"/>
        <w:ind w:firstLine="560" w:firstLineChars="200"/>
        <w:rPr>
          <w:rFonts w:ascii="仿宋" w:hAnsi="仿宋" w:eastAsia="仿宋" w:cstheme="minorEastAsia"/>
          <w:color w:val="000000" w:themeColor="text1"/>
          <w:sz w:val="28"/>
          <w:szCs w:val="28"/>
          <w14:textFill>
            <w14:solidFill>
              <w14:schemeClr w14:val="tx1"/>
            </w14:solidFill>
          </w14:textFill>
        </w:rPr>
      </w:pPr>
      <w:r>
        <w:rPr>
          <w:rFonts w:ascii="仿宋" w:hAnsi="仿宋" w:eastAsia="仿宋" w:cstheme="minorEastAsia"/>
          <w:color w:val="000000" w:themeColor="text1"/>
          <w:sz w:val="28"/>
          <w:szCs w:val="28"/>
          <w14:textFill>
            <w14:solidFill>
              <w14:schemeClr w14:val="tx1"/>
            </w14:solidFill>
          </w14:textFill>
        </w:rPr>
        <w:t>4</w:t>
      </w:r>
      <w:r>
        <w:rPr>
          <w:rFonts w:hint="eastAsia" w:ascii="仿宋" w:hAnsi="仿宋" w:eastAsia="仿宋" w:cstheme="minorEastAsia"/>
          <w:color w:val="000000" w:themeColor="text1"/>
          <w:sz w:val="28"/>
          <w:szCs w:val="28"/>
          <w14:textFill>
            <w14:solidFill>
              <w14:schemeClr w14:val="tx1"/>
            </w14:solidFill>
          </w14:textFill>
        </w:rPr>
        <w:t>.产品检测：由认证机构指定的检测机构参照申请方所申请产品的相关产品标准、GB/T 40181-2021《一次性卫生用非织造材料的可冲散性试验方法及评价》标准及相关认证实施细则要求，对所申请产品进行检测。</w:t>
      </w:r>
    </w:p>
    <w:p>
      <w:pPr>
        <w:spacing w:line="360" w:lineRule="auto"/>
        <w:ind w:firstLine="560" w:firstLineChars="200"/>
        <w:rPr>
          <w:rFonts w:ascii="仿宋" w:hAnsi="仿宋" w:eastAsia="仿宋" w:cstheme="minorEastAsia"/>
          <w:sz w:val="28"/>
          <w:szCs w:val="28"/>
        </w:rPr>
      </w:pPr>
      <w:r>
        <w:rPr>
          <w:rFonts w:ascii="仿宋" w:hAnsi="仿宋" w:eastAsia="仿宋" w:cstheme="minorEastAsia"/>
          <w:sz w:val="28"/>
          <w:szCs w:val="28"/>
        </w:rPr>
        <w:t>5</w:t>
      </w:r>
      <w:r>
        <w:rPr>
          <w:rFonts w:hint="eastAsia" w:ascii="仿宋" w:hAnsi="仿宋" w:eastAsia="仿宋" w:cstheme="minorEastAsia"/>
          <w:sz w:val="28"/>
          <w:szCs w:val="28"/>
        </w:rPr>
        <w:t>.现场检查：认证机构组织专家和检查员赴申请方生产现场进行检查，综合考评申请方的质量保证能力和产品一致性。</w:t>
      </w:r>
    </w:p>
    <w:p>
      <w:pPr>
        <w:spacing w:line="360" w:lineRule="auto"/>
        <w:ind w:firstLine="560" w:firstLineChars="200"/>
        <w:rPr>
          <w:rFonts w:ascii="仿宋" w:hAnsi="仿宋" w:eastAsia="仿宋" w:cstheme="minorEastAsia"/>
          <w:sz w:val="28"/>
          <w:szCs w:val="28"/>
        </w:rPr>
      </w:pPr>
      <w:r>
        <w:rPr>
          <w:rFonts w:ascii="仿宋" w:hAnsi="仿宋" w:eastAsia="仿宋" w:cstheme="minorEastAsia"/>
          <w:sz w:val="28"/>
          <w:szCs w:val="28"/>
        </w:rPr>
        <w:t>6</w:t>
      </w:r>
      <w:r>
        <w:rPr>
          <w:rFonts w:hint="eastAsia" w:ascii="仿宋" w:hAnsi="仿宋" w:eastAsia="仿宋" w:cstheme="minorEastAsia"/>
          <w:sz w:val="28"/>
          <w:szCs w:val="28"/>
        </w:rPr>
        <w:t>.颁发证书：认证机构对审查资料、产品检验、工厂检查结果进行综合评</w:t>
      </w:r>
      <w:r>
        <w:rPr>
          <w:rFonts w:hint="eastAsia" w:ascii="仿宋" w:hAnsi="仿宋" w:eastAsia="仿宋"/>
          <w:color w:val="3C3C3C"/>
          <w:sz w:val="28"/>
          <w:szCs w:val="28"/>
        </w:rPr>
        <w:t>价，对通过综合评价的申请方颁发认证证书，并签订认证标志授权使用协议。认证证书的有效期为两年</w:t>
      </w:r>
      <w:r>
        <w:rPr>
          <w:rFonts w:hint="eastAsia" w:ascii="仿宋" w:hAnsi="仿宋" w:eastAsia="仿宋" w:cstheme="minorEastAsia"/>
          <w:sz w:val="28"/>
          <w:szCs w:val="28"/>
        </w:rPr>
        <w:t>。颁发认证决定一个月内，认证机构需将认证结果提报“非织绿盟”秘书处备案。</w:t>
      </w:r>
    </w:p>
    <w:p>
      <w:pPr>
        <w:spacing w:line="360" w:lineRule="auto"/>
        <w:ind w:firstLine="560" w:firstLineChars="200"/>
        <w:rPr>
          <w:rFonts w:ascii="仿宋" w:hAnsi="仿宋" w:eastAsia="仿宋" w:cstheme="minorEastAsia"/>
          <w:sz w:val="28"/>
          <w:szCs w:val="28"/>
        </w:rPr>
      </w:pPr>
      <w:r>
        <w:rPr>
          <w:rFonts w:hint="eastAsia" w:ascii="仿宋" w:hAnsi="仿宋" w:eastAsia="仿宋" w:cstheme="minorEastAsia"/>
          <w:sz w:val="28"/>
          <w:szCs w:val="28"/>
        </w:rPr>
        <w:t>7.获证后监督：是指认证机构对获证产品及其生产者/生产企业实施的监督。通过实施有效的跟踪检查以验证生产者/生产企业的质量保证能力持续符合认证要求，确保获证产品持续符合标准要求并保持与型式试验样品的一致性。获证后监督采取获证后抽样检测和</w:t>
      </w:r>
      <w:r>
        <w:rPr>
          <w:rFonts w:ascii="仿宋" w:hAnsi="仿宋" w:eastAsia="仿宋" w:cstheme="minorEastAsia"/>
          <w:sz w:val="28"/>
          <w:szCs w:val="28"/>
        </w:rPr>
        <w:t>/或</w:t>
      </w:r>
      <w:r>
        <w:rPr>
          <w:rFonts w:hint="eastAsia" w:ascii="仿宋" w:hAnsi="仿宋" w:eastAsia="仿宋" w:cstheme="minorEastAsia"/>
          <w:sz w:val="28"/>
          <w:szCs w:val="28"/>
        </w:rPr>
        <w:t>检查的方式实施。</w:t>
      </w:r>
    </w:p>
    <w:p>
      <w:pPr>
        <w:spacing w:line="360" w:lineRule="auto"/>
        <w:ind w:firstLine="560" w:firstLineChars="200"/>
        <w:rPr>
          <w:rFonts w:ascii="仿宋" w:hAnsi="仿宋" w:eastAsia="仿宋" w:cstheme="minorEastAsia"/>
          <w:sz w:val="28"/>
          <w:szCs w:val="28"/>
        </w:rPr>
      </w:pPr>
      <w:r>
        <w:rPr>
          <w:rFonts w:hint="eastAsia" w:ascii="仿宋" w:hAnsi="仿宋" w:eastAsia="仿宋" w:cstheme="minorEastAsia"/>
          <w:sz w:val="28"/>
          <w:szCs w:val="28"/>
        </w:rPr>
        <w:t>8.标志管理：认证机构和“非织绿盟”秘书处对获证方的“可冲散”标志使用情况进行监督管理。获证方应按《认证标志使用许可协议》相关规定执行。</w:t>
      </w:r>
    </w:p>
    <w:p>
      <w:pPr>
        <w:spacing w:line="360" w:lineRule="auto"/>
        <w:ind w:firstLine="560" w:firstLineChars="200"/>
        <w:rPr>
          <w:rFonts w:ascii="仿宋" w:hAnsi="仿宋" w:eastAsia="仿宋" w:cstheme="minorEastAsia"/>
          <w:sz w:val="28"/>
          <w:szCs w:val="28"/>
        </w:rPr>
      </w:pPr>
      <w:r>
        <w:rPr>
          <w:rFonts w:ascii="仿宋" w:hAnsi="仿宋" w:eastAsia="仿宋" w:cstheme="minorEastAsia"/>
          <w:sz w:val="28"/>
          <w:szCs w:val="28"/>
        </w:rPr>
        <w:t>9</w:t>
      </w:r>
      <w:r>
        <w:rPr>
          <w:rFonts w:hint="eastAsia" w:ascii="仿宋" w:hAnsi="仿宋" w:eastAsia="仿宋" w:cstheme="minorEastAsia"/>
          <w:sz w:val="28"/>
          <w:szCs w:val="28"/>
        </w:rPr>
        <w:t>.复审换证：产品认证证书有效期满后，认证机构将按认证工作规定进行复审，并为通过复审的单位换发新的认证证书。</w:t>
      </w:r>
    </w:p>
    <w:p>
      <w:pPr>
        <w:pStyle w:val="4"/>
        <w:spacing w:before="0" w:beforeAutospacing="0" w:after="0" w:afterAutospacing="0" w:line="360" w:lineRule="auto"/>
        <w:ind w:firstLine="562" w:firstLineChars="200"/>
        <w:rPr>
          <w:rFonts w:hint="eastAsia" w:ascii="仿宋" w:hAnsi="仿宋" w:eastAsia="仿宋"/>
          <w:color w:val="3C3C3C"/>
          <w:sz w:val="28"/>
          <w:szCs w:val="28"/>
        </w:rPr>
      </w:pPr>
      <w:r>
        <w:rPr>
          <w:rFonts w:hint="eastAsia" w:ascii="仿宋" w:hAnsi="仿宋" w:eastAsia="仿宋"/>
          <w:b/>
          <w:bCs/>
          <w:color w:val="3C3C3C"/>
          <w:sz w:val="28"/>
          <w:szCs w:val="28"/>
        </w:rPr>
        <w:t>备注：</w:t>
      </w:r>
      <w:r>
        <w:rPr>
          <w:rFonts w:hint="eastAsia" w:ascii="仿宋" w:hAnsi="仿宋" w:eastAsia="仿宋"/>
          <w:color w:val="3C3C3C"/>
          <w:sz w:val="28"/>
          <w:szCs w:val="28"/>
        </w:rPr>
        <w:t>认证机构应在一个月内，将通过认证的产品信息上报国家认监委备案。完成备案后，企业和相关方均可在国家认监委网站自愿性产品认证板块查询认证产品信息。</w:t>
      </w:r>
    </w:p>
    <w:p>
      <w:pPr>
        <w:pStyle w:val="4"/>
        <w:spacing w:before="0" w:beforeAutospacing="0" w:after="0" w:afterAutospacing="0" w:line="360" w:lineRule="auto"/>
        <w:ind w:firstLine="480" w:firstLineChars="200"/>
        <w:rPr>
          <w:rFonts w:hint="eastAsia"/>
          <w:lang w:val="en-US" w:eastAsia="zh-CN"/>
        </w:rPr>
      </w:pPr>
      <w:r>
        <w:drawing>
          <wp:anchor distT="0" distB="0" distL="114300" distR="114300" simplePos="0" relativeHeight="251659264" behindDoc="0" locked="0" layoutInCell="1" allowOverlap="1">
            <wp:simplePos x="0" y="0"/>
            <wp:positionH relativeFrom="column">
              <wp:posOffset>1438275</wp:posOffset>
            </wp:positionH>
            <wp:positionV relativeFrom="paragraph">
              <wp:posOffset>299085</wp:posOffset>
            </wp:positionV>
            <wp:extent cx="1896745" cy="1076325"/>
            <wp:effectExtent l="0" t="0" r="8255" b="9525"/>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rcRect l="1302"/>
                    <a:stretch>
                      <a:fillRect/>
                    </a:stretch>
                  </pic:blipFill>
                  <pic:spPr>
                    <a:xfrm>
                      <a:off x="0" y="0"/>
                      <a:ext cx="1896745" cy="1076325"/>
                    </a:xfrm>
                    <a:prstGeom prst="rect">
                      <a:avLst/>
                    </a:prstGeom>
                    <a:noFill/>
                    <a:ln>
                      <a:noFill/>
                    </a:ln>
                  </pic:spPr>
                </pic:pic>
              </a:graphicData>
            </a:graphic>
          </wp:anchor>
        </w:drawing>
      </w:r>
      <w:r>
        <w:rPr>
          <w:rFonts w:hint="eastAsia"/>
          <w:lang w:val="en-US" w:eastAsia="zh-CN"/>
        </w:rPr>
        <w:t xml:space="preserve">                 </w:t>
      </w:r>
    </w:p>
    <w:p>
      <w:pPr>
        <w:pStyle w:val="4"/>
        <w:spacing w:before="0" w:beforeAutospacing="0" w:after="0" w:afterAutospacing="0" w:line="360" w:lineRule="auto"/>
        <w:ind w:firstLine="2409" w:firstLineChars="1000"/>
        <w:rPr>
          <w:rFonts w:hint="eastAsia" w:ascii="仿宋" w:hAnsi="仿宋" w:eastAsia="仿宋" w:cstheme="minorEastAsia"/>
          <w:b/>
          <w:bCs/>
          <w:sz w:val="24"/>
        </w:rPr>
      </w:pPr>
      <w:r>
        <w:rPr>
          <w:rFonts w:hint="eastAsia" w:ascii="仿宋" w:hAnsi="仿宋" w:eastAsia="仿宋" w:cstheme="minorEastAsia"/>
          <w:b/>
          <w:bCs/>
          <w:sz w:val="24"/>
        </w:rPr>
        <w:t>图2</w:t>
      </w:r>
      <w:r>
        <w:rPr>
          <w:rFonts w:ascii="仿宋" w:hAnsi="仿宋" w:eastAsia="仿宋" w:cstheme="minorEastAsia"/>
          <w:b/>
          <w:bCs/>
          <w:sz w:val="24"/>
        </w:rPr>
        <w:t xml:space="preserve"> </w:t>
      </w:r>
      <w:r>
        <w:rPr>
          <w:rFonts w:hint="eastAsia" w:ascii="仿宋" w:hAnsi="仿宋" w:eastAsia="仿宋" w:cstheme="minorEastAsia"/>
          <w:b/>
          <w:bCs/>
          <w:sz w:val="24"/>
        </w:rPr>
        <w:t>“可</w:t>
      </w:r>
      <w:r>
        <w:rPr>
          <w:rFonts w:hint="eastAsia" w:ascii="仿宋" w:hAnsi="仿宋" w:eastAsia="仿宋" w:cstheme="minorEastAsia"/>
          <w:b/>
          <w:bCs/>
          <w:sz w:val="24"/>
          <w:lang w:val="en-US" w:eastAsia="zh-CN"/>
        </w:rPr>
        <w:t>冲散</w:t>
      </w:r>
      <w:r>
        <w:rPr>
          <w:rFonts w:hint="eastAsia" w:ascii="仿宋" w:hAnsi="仿宋" w:eastAsia="仿宋" w:cstheme="minorEastAsia"/>
          <w:b/>
          <w:bCs/>
          <w:sz w:val="24"/>
        </w:rPr>
        <w:t>”</w:t>
      </w:r>
      <w:r>
        <w:rPr>
          <w:rFonts w:hint="eastAsia" w:ascii="仿宋" w:hAnsi="仿宋" w:eastAsia="仿宋" w:cstheme="minorEastAsia"/>
          <w:b/>
          <w:bCs/>
          <w:sz w:val="24"/>
          <w:lang w:val="en-US" w:eastAsia="zh-CN"/>
        </w:rPr>
        <w:t>认证</w:t>
      </w:r>
      <w:r>
        <w:rPr>
          <w:rFonts w:hint="eastAsia" w:ascii="仿宋" w:hAnsi="仿宋" w:eastAsia="仿宋" w:cstheme="minorEastAsia"/>
          <w:b/>
          <w:bCs/>
          <w:sz w:val="24"/>
        </w:rPr>
        <w:t>标志</w:t>
      </w:r>
      <w:bookmarkStart w:id="0" w:name="_GoBack"/>
      <w:bookmarkEnd w:id="0"/>
    </w:p>
    <w:p>
      <w:pPr>
        <w:pStyle w:val="4"/>
        <w:spacing w:before="0" w:beforeAutospacing="0" w:after="0" w:afterAutospacing="0" w:line="360" w:lineRule="auto"/>
        <w:ind w:firstLine="560" w:firstLineChars="200"/>
        <w:rPr>
          <w:rFonts w:hint="eastAsia" w:ascii="仿宋" w:hAnsi="仿宋" w:eastAsia="仿宋"/>
          <w:color w:val="3C3C3C"/>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9754841"/>
    </w:sdtPr>
    <w:sdtContent>
      <w:sdt>
        <w:sdtPr>
          <w:id w:val="-1705238520"/>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B43"/>
    <w:rsid w:val="0002010A"/>
    <w:rsid w:val="00051020"/>
    <w:rsid w:val="00056809"/>
    <w:rsid w:val="000A12C6"/>
    <w:rsid w:val="00102C6B"/>
    <w:rsid w:val="00106A15"/>
    <w:rsid w:val="001301CD"/>
    <w:rsid w:val="0015059C"/>
    <w:rsid w:val="001931E0"/>
    <w:rsid w:val="00193F6E"/>
    <w:rsid w:val="001E5E55"/>
    <w:rsid w:val="001F4B43"/>
    <w:rsid w:val="00231CF1"/>
    <w:rsid w:val="00237545"/>
    <w:rsid w:val="00264098"/>
    <w:rsid w:val="0028466A"/>
    <w:rsid w:val="002A1C08"/>
    <w:rsid w:val="002E1F6D"/>
    <w:rsid w:val="003367EA"/>
    <w:rsid w:val="0038482C"/>
    <w:rsid w:val="003B2E4A"/>
    <w:rsid w:val="003C5C36"/>
    <w:rsid w:val="003E2F1C"/>
    <w:rsid w:val="00457B42"/>
    <w:rsid w:val="004618FF"/>
    <w:rsid w:val="00465816"/>
    <w:rsid w:val="0047714C"/>
    <w:rsid w:val="004B049D"/>
    <w:rsid w:val="004E4EF6"/>
    <w:rsid w:val="00656373"/>
    <w:rsid w:val="006902AE"/>
    <w:rsid w:val="006E5112"/>
    <w:rsid w:val="007260BC"/>
    <w:rsid w:val="00753D32"/>
    <w:rsid w:val="00796EC6"/>
    <w:rsid w:val="007E610F"/>
    <w:rsid w:val="00841BE3"/>
    <w:rsid w:val="00844994"/>
    <w:rsid w:val="008F71D4"/>
    <w:rsid w:val="00907926"/>
    <w:rsid w:val="0095408A"/>
    <w:rsid w:val="009A7A52"/>
    <w:rsid w:val="009E533D"/>
    <w:rsid w:val="00A35146"/>
    <w:rsid w:val="00A505D9"/>
    <w:rsid w:val="00A976CC"/>
    <w:rsid w:val="00AC4314"/>
    <w:rsid w:val="00AE1BD2"/>
    <w:rsid w:val="00AE5B01"/>
    <w:rsid w:val="00B27777"/>
    <w:rsid w:val="00B85481"/>
    <w:rsid w:val="00B95098"/>
    <w:rsid w:val="00BA6080"/>
    <w:rsid w:val="00C47892"/>
    <w:rsid w:val="00CA04CC"/>
    <w:rsid w:val="00CC6031"/>
    <w:rsid w:val="00D105DE"/>
    <w:rsid w:val="00D9169D"/>
    <w:rsid w:val="00DB0DC2"/>
    <w:rsid w:val="00EB7F80"/>
    <w:rsid w:val="00EE705C"/>
    <w:rsid w:val="00EF0090"/>
    <w:rsid w:val="00F020B8"/>
    <w:rsid w:val="00F77C05"/>
    <w:rsid w:val="00FC52BE"/>
    <w:rsid w:val="00FE1EC6"/>
    <w:rsid w:val="024437CF"/>
    <w:rsid w:val="0BE706A5"/>
    <w:rsid w:val="0D057C42"/>
    <w:rsid w:val="0E5E0079"/>
    <w:rsid w:val="12A6508F"/>
    <w:rsid w:val="136C34DC"/>
    <w:rsid w:val="23931A49"/>
    <w:rsid w:val="302B659C"/>
    <w:rsid w:val="36491CB3"/>
    <w:rsid w:val="58032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99"/>
    <w:rPr>
      <w:kern w:val="2"/>
      <w:sz w:val="18"/>
      <w:szCs w:val="18"/>
    </w:rPr>
  </w:style>
  <w:style w:type="paragraph" w:customStyle="1" w:styleId="9">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D7E1AB-33F2-49E6-88AC-803C79DDD592}">
  <ds:schemaRefs/>
</ds:datastoreItem>
</file>

<file path=docProps/app.xml><?xml version="1.0" encoding="utf-8"?>
<Properties xmlns="http://schemas.openxmlformats.org/officeDocument/2006/extended-properties" xmlns:vt="http://schemas.openxmlformats.org/officeDocument/2006/docPropsVTypes">
  <Template>Normal</Template>
  <Pages>3</Pages>
  <Words>128</Words>
  <Characters>732</Characters>
  <Lines>6</Lines>
  <Paragraphs>1</Paragraphs>
  <TotalTime>2</TotalTime>
  <ScaleCrop>false</ScaleCrop>
  <LinksUpToDate>false</LinksUpToDate>
  <CharactersWithSpaces>859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2021-05-06T11:39:00Z</dcterms:created>
  <dc:creator>Administrator</dc:creator>
  <cp:lastModifiedBy>liyuhao</cp:lastModifiedBy>
  <cp:lastPrinted>2021-05-06T11:46:00Z</cp:lastPrinted>
  <dcterms:modified xsi:type="dcterms:W3CDTF">2022-01-06T01:55:02Z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7E6BF187874845CDA32623B3D87547D3</vt:lpwstr>
  </property>
</Properties>
</file>